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Kinematic d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escription of alignment in </w:t>
      </w:r>
      <w:r>
        <w:rPr>
          <w:rFonts w:ascii="Times New Roman" w:hAnsi="Times New Roman"/>
          <w:sz w:val="28"/>
          <w:szCs w:val="28"/>
          <w:rtl w:val="0"/>
          <w:lang w:val="en-US"/>
        </w:rPr>
        <w:t>the Pamir experiment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Aleksei Nikolskii</w:t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kern w:val="2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Joint Institute for Nuclear Research, Dubna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kern w:val="2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8"/>
          <w:szCs w:val="28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2"/>
          <w:sz w:val="28"/>
          <w:szCs w:val="28"/>
          <w:u w:color="000000"/>
          <w:rtl w:val="0"/>
          <w:lang w:val="en-US"/>
        </w:rPr>
        <w:tab/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The report is devoted to the geometric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and kinematic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description of the azimuthal correlation of photon and hadron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families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, which was observed by the Pamir collaboration in emulsion experiments with cosmic rays. This effect is called </w:t>
      </w:r>
      <w:r>
        <w:rPr>
          <w:rFonts w:ascii="Times New Roman" w:hAnsi="Times New Roman" w:hint="default"/>
          <w:kern w:val="2"/>
          <w:sz w:val="28"/>
          <w:szCs w:val="28"/>
          <w:u w:color="000000"/>
          <w:rtl w:val="0"/>
          <w:lang w:val="en-US"/>
        </w:rPr>
        <w:t>«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alignment</w:t>
      </w:r>
      <w:r>
        <w:rPr>
          <w:rFonts w:ascii="Times New Roman" w:hAnsi="Times New Roman" w:hint="default"/>
          <w:kern w:val="2"/>
          <w:sz w:val="28"/>
          <w:szCs w:val="28"/>
          <w:u w:color="000000"/>
          <w:rtl w:val="0"/>
          <w:lang w:val="en-US"/>
        </w:rPr>
        <w:t>»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, because quantitatively this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feature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demonstrates a deviation from the straight line of points on the emulsion film plane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used for particle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s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detection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. In our approach, it is shown that a high degree of alignment is a consequence of the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selection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procedure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for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the most energetic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clusters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, i.e. the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existence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of a lower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energy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threshold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of the gamma component in the interaction products of the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target nuclei and cosmic radiation together with the law of conservation of their transverse momentum. The obtained results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correct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describe the maximum degree of alignment for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the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three points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and are also close to the measurements in the Pamir experiment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for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the case of four and five clusters, so the proposed method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looks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very promising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for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interpretation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the alignment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rtl w:val="0"/>
          <w:lang w:val="en-US"/>
        </w:rPr>
        <w:t>phenomenon.</w:t>
      </w:r>
    </w:p>
    <w:p>
      <w:pPr>
        <w:pStyle w:val="По умолчанию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kern w:val="2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numPr>
          <w:ilvl w:val="0"/>
          <w:numId w:val="2"/>
        </w:numPr>
        <w:bidi w:val="0"/>
        <w:spacing w:before="0" w:after="160" w:line="240" w:lineRule="auto"/>
        <w:ind w:right="0"/>
        <w:jc w:val="left"/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Pamir Collaboration, A. Borisov et al., in Proceedings of 4th International Symposium on Very High Energy Cosmic Ray Interactions, Beijing, ed. by D.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Linkai (1986), p. 4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after="160" w:line="240" w:lineRule="auto"/>
        <w:ind w:right="0"/>
        <w:jc w:val="left"/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I.P.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nl-NL"/>
          <w14:textFill>
            <w14:solidFill>
              <w14:srgbClr w14:val="333333"/>
            </w14:solidFill>
          </w14:textFill>
        </w:rPr>
        <w:t>Lokhtin,  A.V.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Nikolskii,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, A.M.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>Snigirev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 Eur. Phys. J. C 83, 324 (2023)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da-DK"/>
          <w14:textFill>
            <w14:solidFill>
              <w14:srgbClr w14:val="333333"/>
            </w14:solidFill>
          </w14:textFill>
        </w:rPr>
        <w:t>arXiv: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2301.07975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;  </w:t>
      </w:r>
    </w:p>
    <w:p>
      <w:pPr>
        <w:pStyle w:val="По умолчанию"/>
        <w:numPr>
          <w:ilvl w:val="0"/>
          <w:numId w:val="2"/>
        </w:numPr>
        <w:bidi w:val="0"/>
        <w:spacing w:before="0" w:after="160" w:line="240" w:lineRule="auto"/>
        <w:ind w:right="0"/>
        <w:jc w:val="left"/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I.P.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nl-NL"/>
          <w14:textFill>
            <w14:solidFill>
              <w14:srgbClr w14:val="333333"/>
            </w14:solidFill>
          </w14:textFill>
        </w:rPr>
        <w:t>Lokhtin,  A.K.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Managadze,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A.M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it-IT"/>
          <w14:textFill>
            <w14:solidFill>
              <w14:srgbClr w14:val="333333"/>
            </w14:solidFill>
          </w14:textFill>
        </w:rPr>
        <w:t>Snigirev, Phys. Atom. Nuclei 76, 602</w:t>
      </w: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–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606 (2013)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; </w:t>
      </w:r>
    </w:p>
    <w:p>
      <w:pPr>
        <w:pStyle w:val="По умолчанию"/>
        <w:numPr>
          <w:ilvl w:val="0"/>
          <w:numId w:val="2"/>
        </w:numPr>
        <w:bidi w:val="0"/>
        <w:spacing w:before="0" w:after="160" w:line="240" w:lineRule="auto"/>
        <w:ind w:right="0"/>
        <w:jc w:val="left"/>
        <w:rPr>
          <w:rFonts w:ascii="Times New Roman" w:hAnsi="Times New Roman"/>
          <w:outline w:val="0"/>
          <w:color w:val="333333"/>
          <w:sz w:val="28"/>
          <w:szCs w:val="28"/>
          <w:rtl w:val="0"/>
          <w:lang w:val="nl-NL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nl-NL"/>
          <w14:textFill>
            <w14:solidFill>
              <w14:srgbClr w14:val="333333"/>
            </w14:solidFill>
          </w14:textFill>
        </w:rPr>
        <w:t>I.P. Lokhtin, A.K. Managadze, L.I. Sarycheva, A.M. Snigirev, Eur. Phys. J. C 44, 51 (2005)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da-DK"/>
          <w14:textFill>
            <w14:solidFill>
              <w14:srgbClr w14:val="333333"/>
            </w14:solidFill>
          </w14:textFill>
        </w:rPr>
        <w:t>arXiv: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hep-ph/0502230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>; s</w:t>
      </w:r>
    </w:p>
    <w:p>
      <w:pPr>
        <w:pStyle w:val="По умолчанию"/>
        <w:numPr>
          <w:ilvl w:val="0"/>
          <w:numId w:val="2"/>
        </w:numPr>
        <w:bidi w:val="0"/>
        <w:spacing w:before="0" w:after="160" w:line="240" w:lineRule="auto"/>
        <w:ind w:right="0"/>
        <w:jc w:val="left"/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R.A. Mukhamedshin, Eur. Phys. J. C 82, 155 (2022)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da-DK"/>
          <w14:textFill>
            <w14:solidFill>
              <w14:srgbClr w14:val="333333"/>
            </w14:solidFill>
          </w14:textFill>
        </w:rPr>
        <w:t>arXiv: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2207.13558</w:t>
      </w:r>
      <w:r>
        <w:rPr>
          <w:rFonts w:ascii="Times New Roman" w:hAnsi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:lang w:val="en-US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96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