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2BF" w:rsidRPr="006042BF" w:rsidRDefault="00070D80" w:rsidP="006042BF">
      <w:pPr>
        <w:pStyle w:val="Heading1"/>
        <w:outlineLvl w:val="9"/>
        <w:rPr>
          <w:rFonts w:ascii="Times New Roman" w:hAnsi="Times New Roman"/>
          <w:sz w:val="28"/>
          <w:szCs w:val="28"/>
        </w:rPr>
      </w:pPr>
      <w:r>
        <w:rPr>
          <w:rFonts w:ascii="Times New Roman" w:hAnsi="Times New Roman"/>
          <w:caps w:val="0"/>
          <w:sz w:val="28"/>
          <w:szCs w:val="28"/>
          <w:lang w:val="en-US"/>
        </w:rPr>
        <w:t>H</w:t>
      </w:r>
      <w:r w:rsidR="006042BF" w:rsidRPr="006042BF">
        <w:rPr>
          <w:rFonts w:ascii="Times New Roman" w:hAnsi="Times New Roman"/>
          <w:caps w:val="0"/>
          <w:sz w:val="28"/>
          <w:szCs w:val="28"/>
          <w:lang w:val="en-US"/>
        </w:rPr>
        <w:t xml:space="preserve">igh-energy </w:t>
      </w:r>
      <w:proofErr w:type="spellStart"/>
      <w:r w:rsidR="006042BF" w:rsidRPr="006042BF">
        <w:rPr>
          <w:rFonts w:ascii="Times New Roman" w:hAnsi="Times New Roman"/>
          <w:caps w:val="0"/>
          <w:sz w:val="28"/>
          <w:szCs w:val="28"/>
          <w:lang w:val="en-US"/>
        </w:rPr>
        <w:t>magnetospheric</w:t>
      </w:r>
      <w:proofErr w:type="spellEnd"/>
      <w:r w:rsidR="006042BF" w:rsidRPr="006042BF">
        <w:rPr>
          <w:rFonts w:ascii="Times New Roman" w:hAnsi="Times New Roman"/>
          <w:caps w:val="0"/>
          <w:sz w:val="28"/>
          <w:szCs w:val="28"/>
          <w:lang w:val="en-US"/>
        </w:rPr>
        <w:t xml:space="preserve"> electron flux enhancements and the paramet</w:t>
      </w:r>
      <w:r w:rsidR="006042BF">
        <w:rPr>
          <w:rFonts w:ascii="Times New Roman" w:hAnsi="Times New Roman"/>
          <w:caps w:val="0"/>
          <w:sz w:val="28"/>
          <w:szCs w:val="28"/>
          <w:lang w:val="en-US"/>
        </w:rPr>
        <w:t>ers of interplanetary and near-E</w:t>
      </w:r>
      <w:r w:rsidR="006042BF" w:rsidRPr="006042BF">
        <w:rPr>
          <w:rFonts w:ascii="Times New Roman" w:hAnsi="Times New Roman"/>
          <w:caps w:val="0"/>
          <w:sz w:val="28"/>
          <w:szCs w:val="28"/>
          <w:lang w:val="en-US"/>
        </w:rPr>
        <w:t>arth medium</w:t>
      </w:r>
    </w:p>
    <w:p w:rsidR="006042BF" w:rsidRPr="006042BF" w:rsidRDefault="006042BF">
      <w:pPr>
        <w:spacing w:after="200" w:line="240" w:lineRule="auto"/>
        <w:jc w:val="center"/>
        <w:rPr>
          <w:rFonts w:ascii="Times" w:eastAsia="Times" w:hAnsi="Times" w:cs="Times"/>
          <w:b/>
          <w:sz w:val="28"/>
          <w:szCs w:val="28"/>
          <w:lang w:val="en-AU"/>
        </w:rPr>
      </w:pPr>
    </w:p>
    <w:p w:rsidR="00D8665D" w:rsidRPr="00D8665D" w:rsidRDefault="00D8665D" w:rsidP="00D8665D">
      <w:pPr>
        <w:spacing w:line="360" w:lineRule="auto"/>
        <w:jc w:val="center"/>
        <w:rPr>
          <w:rFonts w:ascii="Times" w:eastAsia="Times" w:hAnsi="Times" w:cs="Times"/>
          <w:b/>
          <w:sz w:val="24"/>
          <w:szCs w:val="24"/>
          <w:lang w:val="en-IE"/>
        </w:rPr>
      </w:pPr>
      <w:r>
        <w:rPr>
          <w:rFonts w:ascii="Times" w:eastAsia="Times" w:hAnsi="Times" w:cs="Times"/>
          <w:b/>
          <w:sz w:val="24"/>
          <w:szCs w:val="24"/>
          <w:u w:val="single"/>
          <w:lang w:val="en-US"/>
        </w:rPr>
        <w:t>O.</w:t>
      </w:r>
      <w:r w:rsidR="00F55F50" w:rsidRPr="00F55F50">
        <w:rPr>
          <w:rFonts w:ascii="Times" w:eastAsia="Times" w:hAnsi="Times" w:cs="Times"/>
          <w:b/>
          <w:sz w:val="24"/>
          <w:szCs w:val="24"/>
          <w:u w:val="single"/>
          <w:lang w:val="en-IE"/>
        </w:rPr>
        <w:t xml:space="preserve"> </w:t>
      </w:r>
      <w:proofErr w:type="spellStart"/>
      <w:r>
        <w:rPr>
          <w:rFonts w:ascii="Times" w:eastAsia="Times" w:hAnsi="Times" w:cs="Times"/>
          <w:b/>
          <w:sz w:val="24"/>
          <w:szCs w:val="24"/>
          <w:u w:val="single"/>
          <w:lang w:val="en-IE"/>
        </w:rPr>
        <w:t>Kryakunova</w:t>
      </w:r>
      <w:proofErr w:type="spellEnd"/>
      <w:r w:rsidR="00F55F50" w:rsidRPr="00F55F50">
        <w:rPr>
          <w:rFonts w:ascii="Times" w:eastAsia="Times" w:hAnsi="Times" w:cs="Times"/>
          <w:b/>
          <w:sz w:val="24"/>
          <w:szCs w:val="24"/>
          <w:vertAlign w:val="superscript"/>
          <w:lang w:val="en-IE"/>
        </w:rPr>
        <w:t xml:space="preserve"> 1</w:t>
      </w:r>
      <w:proofErr w:type="gramStart"/>
      <w:r>
        <w:rPr>
          <w:rFonts w:ascii="Times" w:eastAsia="Times" w:hAnsi="Times" w:cs="Times"/>
          <w:b/>
          <w:sz w:val="24"/>
          <w:szCs w:val="24"/>
          <w:vertAlign w:val="superscript"/>
          <w:lang w:val="en-IE"/>
        </w:rPr>
        <w:t>,2</w:t>
      </w:r>
      <w:proofErr w:type="gramEnd"/>
      <w:r w:rsidR="00F55F50" w:rsidRPr="00F55F50">
        <w:rPr>
          <w:rFonts w:ascii="Times" w:eastAsia="Times" w:hAnsi="Times" w:cs="Times"/>
          <w:b/>
          <w:sz w:val="24"/>
          <w:szCs w:val="24"/>
          <w:lang w:val="en-IE"/>
        </w:rPr>
        <w:t xml:space="preserve">, </w:t>
      </w:r>
      <w:r>
        <w:rPr>
          <w:rFonts w:ascii="Times" w:eastAsia="Times" w:hAnsi="Times" w:cs="Times"/>
          <w:b/>
          <w:sz w:val="24"/>
          <w:szCs w:val="24"/>
          <w:lang w:val="en-IE"/>
        </w:rPr>
        <w:t>A</w:t>
      </w:r>
      <w:r w:rsidR="00F55F50" w:rsidRPr="00F55F50">
        <w:rPr>
          <w:rFonts w:ascii="Times" w:eastAsia="Times" w:hAnsi="Times" w:cs="Times"/>
          <w:b/>
          <w:sz w:val="24"/>
          <w:szCs w:val="24"/>
          <w:lang w:val="en-IE"/>
        </w:rPr>
        <w:t xml:space="preserve">. </w:t>
      </w:r>
      <w:proofErr w:type="spellStart"/>
      <w:r>
        <w:rPr>
          <w:rFonts w:ascii="Times" w:eastAsia="Times" w:hAnsi="Times" w:cs="Times"/>
          <w:b/>
          <w:sz w:val="24"/>
          <w:szCs w:val="24"/>
          <w:lang w:val="en-IE"/>
        </w:rPr>
        <w:t>Belov</w:t>
      </w:r>
      <w:proofErr w:type="spellEnd"/>
      <w:r w:rsidR="00F55F50" w:rsidRPr="00F55F50">
        <w:rPr>
          <w:rFonts w:ascii="Times" w:eastAsia="Times" w:hAnsi="Times" w:cs="Times"/>
          <w:b/>
          <w:sz w:val="24"/>
          <w:szCs w:val="24"/>
          <w:vertAlign w:val="superscript"/>
          <w:lang w:val="en-IE"/>
        </w:rPr>
        <w:t xml:space="preserve"> </w:t>
      </w:r>
      <w:r>
        <w:rPr>
          <w:rFonts w:ascii="Times" w:eastAsia="Times" w:hAnsi="Times" w:cs="Times"/>
          <w:b/>
          <w:sz w:val="24"/>
          <w:szCs w:val="24"/>
          <w:vertAlign w:val="superscript"/>
          <w:lang w:val="en-IE"/>
        </w:rPr>
        <w:t>3</w:t>
      </w:r>
      <w:r w:rsidR="00F55F50" w:rsidRPr="00F55F50">
        <w:rPr>
          <w:rFonts w:ascii="Times" w:eastAsia="Times" w:hAnsi="Times" w:cs="Times"/>
          <w:b/>
          <w:sz w:val="24"/>
          <w:szCs w:val="24"/>
          <w:lang w:val="en-IE"/>
        </w:rPr>
        <w:t xml:space="preserve">, </w:t>
      </w:r>
      <w:r w:rsidRPr="00D8665D">
        <w:rPr>
          <w:rFonts w:ascii="Times" w:eastAsia="Times" w:hAnsi="Times" w:cs="Times"/>
          <w:b/>
          <w:sz w:val="24"/>
          <w:szCs w:val="24"/>
          <w:lang w:val="en-IE"/>
        </w:rPr>
        <w:t>A. Abunin</w:t>
      </w:r>
      <w:r w:rsidRPr="00D8665D">
        <w:rPr>
          <w:rFonts w:ascii="Times" w:eastAsia="Times" w:hAnsi="Times" w:cs="Times"/>
          <w:b/>
          <w:sz w:val="24"/>
          <w:szCs w:val="24"/>
          <w:vertAlign w:val="superscript"/>
          <w:lang w:val="en-IE"/>
        </w:rPr>
        <w:t>3</w:t>
      </w:r>
      <w:r w:rsidRPr="00D8665D">
        <w:rPr>
          <w:rFonts w:ascii="Times" w:eastAsia="Times" w:hAnsi="Times" w:cs="Times"/>
          <w:b/>
          <w:sz w:val="24"/>
          <w:szCs w:val="24"/>
          <w:lang w:val="en-IE"/>
        </w:rPr>
        <w:t>, B. Sei</w:t>
      </w:r>
      <w:bookmarkStart w:id="0" w:name="_GoBack"/>
      <w:bookmarkEnd w:id="0"/>
      <w:r w:rsidRPr="00D8665D">
        <w:rPr>
          <w:rFonts w:ascii="Times" w:eastAsia="Times" w:hAnsi="Times" w:cs="Times"/>
          <w:b/>
          <w:sz w:val="24"/>
          <w:szCs w:val="24"/>
          <w:lang w:val="en-IE"/>
        </w:rPr>
        <w:t>fullina</w:t>
      </w:r>
      <w:r w:rsidRPr="00D8665D">
        <w:rPr>
          <w:rFonts w:ascii="Times" w:eastAsia="Times" w:hAnsi="Times" w:cs="Times"/>
          <w:b/>
          <w:sz w:val="24"/>
          <w:szCs w:val="24"/>
          <w:vertAlign w:val="superscript"/>
          <w:lang w:val="en-IE"/>
        </w:rPr>
        <w:t>1</w:t>
      </w:r>
      <w:r w:rsidRPr="00D8665D">
        <w:rPr>
          <w:rFonts w:ascii="Times" w:eastAsia="Times" w:hAnsi="Times" w:cs="Times"/>
          <w:b/>
          <w:sz w:val="24"/>
          <w:szCs w:val="24"/>
          <w:lang w:val="en-IE"/>
        </w:rPr>
        <w:t>, M.A. Abunina</w:t>
      </w:r>
      <w:r w:rsidRPr="00D8665D">
        <w:rPr>
          <w:rFonts w:ascii="Times" w:eastAsia="Times" w:hAnsi="Times" w:cs="Times"/>
          <w:b/>
          <w:sz w:val="24"/>
          <w:szCs w:val="24"/>
          <w:vertAlign w:val="superscript"/>
          <w:lang w:val="en-IE"/>
        </w:rPr>
        <w:t>3</w:t>
      </w:r>
      <w:r w:rsidRPr="00D8665D">
        <w:rPr>
          <w:rFonts w:ascii="Times" w:eastAsia="Times" w:hAnsi="Times" w:cs="Times"/>
          <w:b/>
          <w:sz w:val="24"/>
          <w:szCs w:val="24"/>
          <w:lang w:val="en-IE"/>
        </w:rPr>
        <w:t xml:space="preserve">, </w:t>
      </w:r>
    </w:p>
    <w:p w:rsidR="00E5404B" w:rsidRPr="00D8665D" w:rsidRDefault="00D8665D" w:rsidP="00D8665D">
      <w:pPr>
        <w:spacing w:after="200"/>
        <w:jc w:val="center"/>
        <w:rPr>
          <w:rFonts w:ascii="Times" w:eastAsia="Times" w:hAnsi="Times" w:cs="Times"/>
          <w:b/>
          <w:sz w:val="24"/>
          <w:szCs w:val="24"/>
          <w:lang w:val="en-IE"/>
        </w:rPr>
      </w:pPr>
      <w:r w:rsidRPr="00D8665D">
        <w:rPr>
          <w:rFonts w:ascii="Times" w:eastAsia="Times" w:hAnsi="Times" w:cs="Times"/>
          <w:b/>
          <w:sz w:val="24"/>
          <w:szCs w:val="24"/>
          <w:lang w:val="en-IE"/>
        </w:rPr>
        <w:t>I. Tsepakina</w:t>
      </w:r>
      <w:r w:rsidRPr="00D8665D">
        <w:rPr>
          <w:rFonts w:ascii="Times" w:eastAsia="Times" w:hAnsi="Times" w:cs="Times"/>
          <w:b/>
          <w:sz w:val="24"/>
          <w:szCs w:val="24"/>
          <w:vertAlign w:val="superscript"/>
          <w:lang w:val="en-IE"/>
        </w:rPr>
        <w:t>1</w:t>
      </w:r>
      <w:r w:rsidRPr="00D8665D">
        <w:rPr>
          <w:rFonts w:ascii="Times" w:eastAsia="Times" w:hAnsi="Times" w:cs="Times"/>
          <w:b/>
          <w:sz w:val="24"/>
          <w:szCs w:val="24"/>
          <w:lang w:val="en-IE"/>
        </w:rPr>
        <w:t>, N.S. Shlyk</w:t>
      </w:r>
      <w:r w:rsidRPr="00D8665D">
        <w:rPr>
          <w:rFonts w:ascii="Times" w:eastAsia="Times" w:hAnsi="Times" w:cs="Times"/>
          <w:b/>
          <w:sz w:val="24"/>
          <w:szCs w:val="24"/>
          <w:vertAlign w:val="superscript"/>
          <w:lang w:val="en-IE"/>
        </w:rPr>
        <w:t>3</w:t>
      </w:r>
      <w:r>
        <w:rPr>
          <w:rFonts w:ascii="Times" w:eastAsia="Times" w:hAnsi="Times" w:cs="Times"/>
          <w:b/>
          <w:sz w:val="24"/>
          <w:szCs w:val="24"/>
          <w:lang w:val="en-IE"/>
        </w:rPr>
        <w:t>, N</w:t>
      </w:r>
      <w:r w:rsidRPr="00D8665D">
        <w:rPr>
          <w:rFonts w:ascii="Times" w:eastAsia="Times" w:hAnsi="Times" w:cs="Times"/>
          <w:b/>
          <w:sz w:val="24"/>
          <w:szCs w:val="24"/>
          <w:lang w:val="en-IE"/>
        </w:rPr>
        <w:t xml:space="preserve">. </w:t>
      </w:r>
      <w:r>
        <w:rPr>
          <w:rFonts w:ascii="Times" w:eastAsia="Times" w:hAnsi="Times" w:cs="Times"/>
          <w:b/>
          <w:sz w:val="24"/>
          <w:szCs w:val="24"/>
          <w:lang w:val="en-IE"/>
        </w:rPr>
        <w:t>Nikolayevskiy</w:t>
      </w:r>
      <w:r w:rsidRPr="00D8665D">
        <w:rPr>
          <w:rFonts w:ascii="Times" w:eastAsia="Times" w:hAnsi="Times" w:cs="Times"/>
          <w:b/>
          <w:sz w:val="24"/>
          <w:szCs w:val="24"/>
          <w:vertAlign w:val="superscript"/>
          <w:lang w:val="en-IE"/>
        </w:rPr>
        <w:t>1</w:t>
      </w:r>
    </w:p>
    <w:p w:rsidR="00E5404B" w:rsidRPr="00D8665D" w:rsidRDefault="00F55F50">
      <w:pPr>
        <w:jc w:val="center"/>
        <w:rPr>
          <w:rFonts w:ascii="Times" w:eastAsia="Times" w:hAnsi="Times" w:cs="Times"/>
          <w:i/>
          <w:sz w:val="24"/>
          <w:szCs w:val="24"/>
          <w:lang w:val="en-US"/>
        </w:rPr>
      </w:pPr>
      <w:r w:rsidRPr="00F55F50">
        <w:rPr>
          <w:rFonts w:ascii="Times" w:eastAsia="Times" w:hAnsi="Times" w:cs="Times"/>
          <w:i/>
          <w:sz w:val="24"/>
          <w:szCs w:val="24"/>
          <w:vertAlign w:val="superscript"/>
          <w:lang w:val="en-IE"/>
        </w:rPr>
        <w:t>1</w:t>
      </w:r>
      <w:r w:rsidR="00D8665D" w:rsidRPr="00D8665D">
        <w:rPr>
          <w:i/>
          <w:lang w:val="en-US"/>
        </w:rPr>
        <w:t xml:space="preserve"> </w:t>
      </w:r>
      <w:r w:rsidR="00D8665D" w:rsidRPr="00D8665D">
        <w:rPr>
          <w:rFonts w:ascii="Times" w:eastAsia="Times" w:hAnsi="Times" w:cs="Times"/>
          <w:i/>
          <w:sz w:val="24"/>
          <w:szCs w:val="24"/>
          <w:lang w:val="en-IE"/>
        </w:rPr>
        <w:t xml:space="preserve">Institute of the Ionosphere, </w:t>
      </w:r>
      <w:proofErr w:type="spellStart"/>
      <w:r w:rsidR="00D8665D" w:rsidRPr="00D8665D">
        <w:rPr>
          <w:rFonts w:ascii="Times" w:eastAsia="Times" w:hAnsi="Times" w:cs="Times"/>
          <w:i/>
          <w:sz w:val="24"/>
          <w:szCs w:val="24"/>
          <w:lang w:val="en-IE"/>
        </w:rPr>
        <w:t>Almaty</w:t>
      </w:r>
      <w:proofErr w:type="spellEnd"/>
      <w:r w:rsidR="00D8665D" w:rsidRPr="00D8665D">
        <w:rPr>
          <w:rFonts w:ascii="Times" w:eastAsia="Times" w:hAnsi="Times" w:cs="Times"/>
          <w:i/>
          <w:sz w:val="24"/>
          <w:szCs w:val="24"/>
          <w:lang w:val="en-IE"/>
        </w:rPr>
        <w:t>, Kazakhstan</w:t>
      </w:r>
    </w:p>
    <w:p w:rsidR="00E5404B" w:rsidRDefault="00F55F50">
      <w:pPr>
        <w:jc w:val="center"/>
        <w:rPr>
          <w:rFonts w:ascii="Times" w:eastAsia="Times" w:hAnsi="Times" w:cs="Times"/>
          <w:i/>
          <w:sz w:val="24"/>
          <w:szCs w:val="24"/>
          <w:lang w:val="en-IE"/>
        </w:rPr>
      </w:pPr>
      <w:r w:rsidRPr="00D8665D">
        <w:rPr>
          <w:rFonts w:ascii="Times" w:eastAsia="Times" w:hAnsi="Times" w:cs="Times"/>
          <w:i/>
          <w:sz w:val="24"/>
          <w:szCs w:val="24"/>
          <w:vertAlign w:val="superscript"/>
          <w:lang w:val="en-IE"/>
        </w:rPr>
        <w:t>2</w:t>
      </w:r>
      <w:r w:rsidRPr="00D8665D">
        <w:rPr>
          <w:rFonts w:ascii="Times" w:eastAsia="Times" w:hAnsi="Times" w:cs="Times"/>
          <w:i/>
          <w:sz w:val="24"/>
          <w:szCs w:val="24"/>
          <w:lang w:val="en-IE"/>
        </w:rPr>
        <w:t xml:space="preserve"> </w:t>
      </w:r>
      <w:proofErr w:type="spellStart"/>
      <w:r w:rsidR="00D8665D" w:rsidRPr="00D8665D">
        <w:rPr>
          <w:rFonts w:ascii="Times" w:eastAsia="Times" w:hAnsi="Times" w:cs="Times"/>
          <w:i/>
          <w:sz w:val="24"/>
          <w:szCs w:val="24"/>
          <w:lang w:val="en-IE"/>
        </w:rPr>
        <w:t>Lebedev</w:t>
      </w:r>
      <w:proofErr w:type="spellEnd"/>
      <w:r w:rsidR="00D8665D" w:rsidRPr="00D8665D">
        <w:rPr>
          <w:rFonts w:ascii="Times" w:eastAsia="Times" w:hAnsi="Times" w:cs="Times"/>
          <w:i/>
          <w:sz w:val="24"/>
          <w:szCs w:val="24"/>
          <w:lang w:val="en-IE"/>
        </w:rPr>
        <w:t xml:space="preserve"> Physical </w:t>
      </w:r>
      <w:proofErr w:type="gramStart"/>
      <w:r w:rsidR="00D8665D" w:rsidRPr="00D8665D">
        <w:rPr>
          <w:rFonts w:ascii="Times" w:eastAsia="Times" w:hAnsi="Times" w:cs="Times"/>
          <w:i/>
          <w:sz w:val="24"/>
          <w:szCs w:val="24"/>
          <w:lang w:val="en-IE"/>
        </w:rPr>
        <w:t>Institute</w:t>
      </w:r>
      <w:proofErr w:type="gramEnd"/>
      <w:r w:rsidR="00D8665D" w:rsidRPr="00D8665D">
        <w:rPr>
          <w:rFonts w:ascii="Times" w:eastAsia="Times" w:hAnsi="Times" w:cs="Times"/>
          <w:i/>
          <w:sz w:val="24"/>
          <w:szCs w:val="24"/>
          <w:lang w:val="en-IE"/>
        </w:rPr>
        <w:t>, Russian Academy of Sciences, Moscow, Russia,</w:t>
      </w:r>
    </w:p>
    <w:p w:rsidR="00D8665D" w:rsidRPr="00D8665D" w:rsidRDefault="00D8665D">
      <w:pPr>
        <w:jc w:val="center"/>
        <w:rPr>
          <w:rFonts w:ascii="Times" w:eastAsia="Times" w:hAnsi="Times" w:cs="Times"/>
          <w:i/>
          <w:sz w:val="24"/>
          <w:szCs w:val="24"/>
          <w:lang w:val="en-US"/>
        </w:rPr>
      </w:pPr>
      <w:r w:rsidRPr="00D8665D">
        <w:rPr>
          <w:rFonts w:ascii="Times" w:eastAsia="Times" w:hAnsi="Times" w:cs="Times"/>
          <w:i/>
          <w:sz w:val="24"/>
          <w:szCs w:val="24"/>
          <w:vertAlign w:val="superscript"/>
          <w:lang w:val="en-IE"/>
        </w:rPr>
        <w:t>3</w:t>
      </w:r>
      <w:r w:rsidRPr="00D8665D">
        <w:rPr>
          <w:rFonts w:ascii="Times" w:eastAsia="Times" w:hAnsi="Times" w:cs="Times"/>
          <w:i/>
          <w:sz w:val="24"/>
          <w:szCs w:val="24"/>
          <w:lang w:val="en-IE"/>
        </w:rPr>
        <w:t xml:space="preserve">Pushkov Institute of Terrestrial Magnetism, Ionosphere and Radio Wave Propagation (IZMIRAN), Russian Academy of Sciences, </w:t>
      </w:r>
      <w:proofErr w:type="spellStart"/>
      <w:r w:rsidRPr="00D8665D">
        <w:rPr>
          <w:rFonts w:ascii="Times" w:eastAsia="Times" w:hAnsi="Times" w:cs="Times"/>
          <w:i/>
          <w:sz w:val="24"/>
          <w:szCs w:val="24"/>
          <w:lang w:val="en-IE"/>
        </w:rPr>
        <w:t>Troitsk</w:t>
      </w:r>
      <w:proofErr w:type="spellEnd"/>
      <w:r w:rsidRPr="00D8665D">
        <w:rPr>
          <w:rFonts w:ascii="Times" w:eastAsia="Times" w:hAnsi="Times" w:cs="Times"/>
          <w:i/>
          <w:sz w:val="24"/>
          <w:szCs w:val="24"/>
          <w:lang w:val="en-IE"/>
        </w:rPr>
        <w:t>, Moscow, Russia</w:t>
      </w:r>
    </w:p>
    <w:p w:rsidR="00E5404B" w:rsidRPr="00F55F50" w:rsidRDefault="00E5404B">
      <w:pPr>
        <w:rPr>
          <w:rFonts w:ascii="Times" w:eastAsia="Times" w:hAnsi="Times" w:cs="Times"/>
          <w:sz w:val="24"/>
          <w:szCs w:val="24"/>
          <w:lang w:val="en-IE"/>
        </w:rPr>
      </w:pPr>
    </w:p>
    <w:p w:rsidR="00E5404B" w:rsidRPr="00070D80" w:rsidRDefault="007B3DF0">
      <w:pPr>
        <w:spacing w:line="240" w:lineRule="auto"/>
        <w:jc w:val="both"/>
        <w:rPr>
          <w:rFonts w:ascii="Times" w:eastAsia="Times" w:hAnsi="Times" w:cs="Times"/>
          <w:sz w:val="24"/>
          <w:szCs w:val="24"/>
          <w:lang w:val="en-IE"/>
        </w:rPr>
      </w:pPr>
      <w:r w:rsidRPr="007B3DF0">
        <w:rPr>
          <w:rFonts w:ascii="Times" w:eastAsia="Times" w:hAnsi="Times" w:cs="Times"/>
          <w:sz w:val="24"/>
          <w:szCs w:val="24"/>
          <w:lang w:val="en-IE"/>
        </w:rPr>
        <w:t xml:space="preserve">Based on the data of 35-year (1987-2021) measurements of </w:t>
      </w:r>
      <w:proofErr w:type="spellStart"/>
      <w:r w:rsidRPr="007B3DF0">
        <w:rPr>
          <w:rFonts w:ascii="Times" w:eastAsia="Times" w:hAnsi="Times" w:cs="Times"/>
          <w:sz w:val="24"/>
          <w:szCs w:val="24"/>
          <w:lang w:val="en-IE"/>
        </w:rPr>
        <w:t>magnetospheric</w:t>
      </w:r>
      <w:proofErr w:type="spellEnd"/>
      <w:r w:rsidRPr="007B3DF0">
        <w:rPr>
          <w:rFonts w:ascii="Times" w:eastAsia="Times" w:hAnsi="Times" w:cs="Times"/>
          <w:sz w:val="24"/>
          <w:szCs w:val="24"/>
          <w:lang w:val="en-IE"/>
        </w:rPr>
        <w:t xml:space="preserve"> electron fluxes with energy &gt;2 </w:t>
      </w:r>
      <w:proofErr w:type="spellStart"/>
      <w:r w:rsidRPr="007B3DF0">
        <w:rPr>
          <w:rFonts w:ascii="Times" w:eastAsia="Times" w:hAnsi="Times" w:cs="Times"/>
          <w:sz w:val="24"/>
          <w:szCs w:val="24"/>
          <w:lang w:val="en-IE"/>
        </w:rPr>
        <w:t>MeV</w:t>
      </w:r>
      <w:proofErr w:type="spellEnd"/>
      <w:r w:rsidRPr="007B3DF0">
        <w:rPr>
          <w:rFonts w:ascii="Times" w:eastAsia="Times" w:hAnsi="Times" w:cs="Times"/>
          <w:sz w:val="24"/>
          <w:szCs w:val="24"/>
          <w:lang w:val="en-IE"/>
        </w:rPr>
        <w:t xml:space="preserve"> in geostationary orbits, solar wind speed and geomagnetic activity, a catalog of electron flux enhancements was compiled in which the electron </w:t>
      </w:r>
      <w:proofErr w:type="spellStart"/>
      <w:r w:rsidRPr="007B3DF0">
        <w:rPr>
          <w:rFonts w:ascii="Times" w:eastAsia="Times" w:hAnsi="Times" w:cs="Times"/>
          <w:sz w:val="24"/>
          <w:szCs w:val="24"/>
          <w:lang w:val="en-IE"/>
        </w:rPr>
        <w:t>fluence</w:t>
      </w:r>
      <w:proofErr w:type="spellEnd"/>
      <w:r w:rsidRPr="007B3DF0">
        <w:rPr>
          <w:rFonts w:ascii="Times" w:eastAsia="Times" w:hAnsi="Times" w:cs="Times"/>
          <w:sz w:val="24"/>
          <w:szCs w:val="24"/>
          <w:lang w:val="en-IE"/>
        </w:rPr>
        <w:t xml:space="preserve"> exceeds 10</w:t>
      </w:r>
      <w:r w:rsidRPr="007B3DF0">
        <w:rPr>
          <w:rFonts w:ascii="Times" w:eastAsia="Times" w:hAnsi="Times" w:cs="Times"/>
          <w:sz w:val="24"/>
          <w:szCs w:val="24"/>
          <w:vertAlign w:val="superscript"/>
          <w:lang w:val="en-IE"/>
        </w:rPr>
        <w:t>8</w:t>
      </w:r>
      <w:r w:rsidRPr="007B3DF0">
        <w:rPr>
          <w:rFonts w:ascii="Times" w:eastAsia="Times" w:hAnsi="Times" w:cs="Times"/>
          <w:sz w:val="24"/>
          <w:szCs w:val="24"/>
          <w:lang w:val="en-IE"/>
        </w:rPr>
        <w:t xml:space="preserve"> cm</w:t>
      </w:r>
      <w:r w:rsidRPr="007B3DF0">
        <w:rPr>
          <w:rFonts w:ascii="Times" w:eastAsia="Times" w:hAnsi="Times" w:cs="Times"/>
          <w:sz w:val="24"/>
          <w:szCs w:val="24"/>
          <w:vertAlign w:val="superscript"/>
          <w:lang w:val="en-IE"/>
        </w:rPr>
        <w:t>–2</w:t>
      </w:r>
      <w:r w:rsidRPr="007B3DF0">
        <w:rPr>
          <w:rFonts w:ascii="Times" w:eastAsia="Times" w:hAnsi="Times" w:cs="Times"/>
          <w:sz w:val="24"/>
          <w:szCs w:val="24"/>
          <w:lang w:val="en-IE"/>
        </w:rPr>
        <w:t>∙sr</w:t>
      </w:r>
      <w:r w:rsidRPr="007B3DF0">
        <w:rPr>
          <w:rFonts w:ascii="Times" w:eastAsia="Times" w:hAnsi="Times" w:cs="Times"/>
          <w:sz w:val="24"/>
          <w:szCs w:val="24"/>
          <w:vertAlign w:val="superscript"/>
          <w:lang w:val="en-IE"/>
        </w:rPr>
        <w:t>–1</w:t>
      </w:r>
      <w:r w:rsidRPr="007B3DF0">
        <w:rPr>
          <w:rFonts w:ascii="Times" w:eastAsia="Times" w:hAnsi="Times" w:cs="Times"/>
          <w:sz w:val="24"/>
          <w:szCs w:val="24"/>
          <w:lang w:val="en-IE"/>
        </w:rPr>
        <w:t>∙day</w:t>
      </w:r>
      <w:r w:rsidRPr="007B3DF0">
        <w:rPr>
          <w:rFonts w:ascii="Times" w:eastAsia="Times" w:hAnsi="Times" w:cs="Times"/>
          <w:sz w:val="24"/>
          <w:szCs w:val="24"/>
          <w:vertAlign w:val="superscript"/>
          <w:lang w:val="en-IE"/>
        </w:rPr>
        <w:t>–1</w:t>
      </w:r>
      <w:r w:rsidRPr="007B3DF0">
        <w:rPr>
          <w:rFonts w:ascii="Times" w:eastAsia="Times" w:hAnsi="Times" w:cs="Times"/>
          <w:sz w:val="24"/>
          <w:szCs w:val="24"/>
          <w:lang w:val="en-IE"/>
        </w:rPr>
        <w:t xml:space="preserve">. The epoch superposition method performed using the GOES-13 spacecraft data shows that large electron flux enhancements are preceded by a significant increase in the solar wind velocity and the </w:t>
      </w:r>
      <w:proofErr w:type="spellStart"/>
      <w:r w:rsidRPr="007B3DF0">
        <w:rPr>
          <w:rFonts w:ascii="Times" w:eastAsia="Times" w:hAnsi="Times" w:cs="Times"/>
          <w:sz w:val="24"/>
          <w:szCs w:val="24"/>
          <w:lang w:val="en-IE"/>
        </w:rPr>
        <w:t>Ap</w:t>
      </w:r>
      <w:proofErr w:type="spellEnd"/>
      <w:r w:rsidRPr="007B3DF0">
        <w:rPr>
          <w:rFonts w:ascii="Times" w:eastAsia="Times" w:hAnsi="Times" w:cs="Times"/>
          <w:sz w:val="24"/>
          <w:szCs w:val="24"/>
          <w:lang w:val="en-IE"/>
        </w:rPr>
        <w:t xml:space="preserve"> index of geomagnetic activity, and immediately before the increase the relativistic electron flux decreases. Based on the calculated mean values of the electron </w:t>
      </w:r>
      <w:proofErr w:type="spellStart"/>
      <w:r w:rsidRPr="007B3DF0">
        <w:rPr>
          <w:rFonts w:ascii="Times" w:eastAsia="Times" w:hAnsi="Times" w:cs="Times"/>
          <w:sz w:val="24"/>
          <w:szCs w:val="24"/>
          <w:lang w:val="en-IE"/>
        </w:rPr>
        <w:t>fluences</w:t>
      </w:r>
      <w:proofErr w:type="spellEnd"/>
      <w:r w:rsidRPr="007B3DF0">
        <w:rPr>
          <w:rFonts w:ascii="Times" w:eastAsia="Times" w:hAnsi="Times" w:cs="Times"/>
          <w:sz w:val="24"/>
          <w:szCs w:val="24"/>
          <w:lang w:val="en-IE"/>
        </w:rPr>
        <w:t xml:space="preserve">, solar wind velocity, and </w:t>
      </w:r>
      <w:proofErr w:type="spellStart"/>
      <w:r w:rsidRPr="007B3DF0">
        <w:rPr>
          <w:rFonts w:ascii="Times" w:eastAsia="Times" w:hAnsi="Times" w:cs="Times"/>
          <w:sz w:val="24"/>
          <w:szCs w:val="24"/>
          <w:lang w:val="en-IE"/>
        </w:rPr>
        <w:t>Ap</w:t>
      </w:r>
      <w:proofErr w:type="spellEnd"/>
      <w:r w:rsidRPr="007B3DF0">
        <w:rPr>
          <w:rFonts w:ascii="Times" w:eastAsia="Times" w:hAnsi="Times" w:cs="Times"/>
          <w:sz w:val="24"/>
          <w:szCs w:val="24"/>
          <w:lang w:val="en-IE"/>
        </w:rPr>
        <w:t>-index of geomagnetic activity on the day of electron enhancement and on previous days, a typical behavior of these parameters during and before an electron flux enhancement was obtained. The average characteristics of electron flux enhancements and the parameters of interplanetary and near-Earth medium are calculated before large electron flux enhancements. It is shown that the greater the increase in solar wind velocity and geomagnetic activity the larger the subsequent electron flux enhancement.</w:t>
      </w:r>
      <w:r w:rsidR="00070D80" w:rsidRPr="00070D80">
        <w:rPr>
          <w:rFonts w:eastAsia="Times New Roman"/>
          <w:lang w:val="en-US"/>
        </w:rPr>
        <w:t xml:space="preserve"> </w:t>
      </w:r>
      <w:r w:rsidR="00070D80" w:rsidRPr="00070D80">
        <w:rPr>
          <w:rFonts w:ascii="Times" w:eastAsia="Times" w:hAnsi="Times" w:cs="Times"/>
          <w:sz w:val="24"/>
          <w:szCs w:val="24"/>
          <w:lang w:val="en-IE"/>
        </w:rPr>
        <w:t xml:space="preserve">The density and vector anisotropy of galactic cosmic rays for 453 events of high-energy </w:t>
      </w:r>
      <w:proofErr w:type="spellStart"/>
      <w:r w:rsidR="00070D80" w:rsidRPr="00070D80">
        <w:rPr>
          <w:rFonts w:ascii="Times" w:eastAsia="Times" w:hAnsi="Times" w:cs="Times"/>
          <w:sz w:val="24"/>
          <w:szCs w:val="24"/>
          <w:lang w:val="en-IE"/>
        </w:rPr>
        <w:t>magnetospheric</w:t>
      </w:r>
      <w:proofErr w:type="spellEnd"/>
      <w:r w:rsidR="00070D80" w:rsidRPr="00070D80">
        <w:rPr>
          <w:rFonts w:ascii="Times" w:eastAsia="Times" w:hAnsi="Times" w:cs="Times"/>
          <w:sz w:val="24"/>
          <w:szCs w:val="24"/>
          <w:lang w:val="en-IE"/>
        </w:rPr>
        <w:t xml:space="preserve"> electron flux enhancements over the period 1996-2020 were calculated by the Global Survey Method (GSM). Some examples of these events, which are characteristic of different classes of solar sources, are considered.</w:t>
      </w:r>
    </w:p>
    <w:sectPr w:rsidR="00E5404B" w:rsidRPr="00070D80" w:rsidSect="004A13DD">
      <w:pgSz w:w="11909" w:h="16834"/>
      <w:pgMar w:top="1440" w:right="1440" w:bottom="1440" w:left="1440"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altName w:val="Times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compat/>
  <w:rsids>
    <w:rsidRoot w:val="00E5404B"/>
    <w:rsid w:val="00012465"/>
    <w:rsid w:val="00070D80"/>
    <w:rsid w:val="004A13DD"/>
    <w:rsid w:val="006042BF"/>
    <w:rsid w:val="00622F57"/>
    <w:rsid w:val="007B3DF0"/>
    <w:rsid w:val="007E22A1"/>
    <w:rsid w:val="009C2EDB"/>
    <w:rsid w:val="00B33E65"/>
    <w:rsid w:val="00B509F9"/>
    <w:rsid w:val="00D46B12"/>
    <w:rsid w:val="00D8665D"/>
    <w:rsid w:val="00DE1ED6"/>
    <w:rsid w:val="00E5404B"/>
    <w:rsid w:val="00F55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3DD"/>
  </w:style>
  <w:style w:type="paragraph" w:styleId="1">
    <w:name w:val="heading 1"/>
    <w:basedOn w:val="a"/>
    <w:next w:val="a"/>
    <w:uiPriority w:val="9"/>
    <w:qFormat/>
    <w:rsid w:val="004A13DD"/>
    <w:pPr>
      <w:keepNext/>
      <w:keepLines/>
      <w:spacing w:before="400" w:after="120"/>
      <w:outlineLvl w:val="0"/>
    </w:pPr>
    <w:rPr>
      <w:sz w:val="40"/>
      <w:szCs w:val="40"/>
    </w:rPr>
  </w:style>
  <w:style w:type="paragraph" w:styleId="2">
    <w:name w:val="heading 2"/>
    <w:basedOn w:val="a"/>
    <w:next w:val="a"/>
    <w:uiPriority w:val="9"/>
    <w:semiHidden/>
    <w:unhideWhenUsed/>
    <w:qFormat/>
    <w:rsid w:val="004A13DD"/>
    <w:pPr>
      <w:keepNext/>
      <w:keepLines/>
      <w:spacing w:before="360" w:after="120"/>
      <w:outlineLvl w:val="1"/>
    </w:pPr>
    <w:rPr>
      <w:sz w:val="32"/>
      <w:szCs w:val="32"/>
    </w:rPr>
  </w:style>
  <w:style w:type="paragraph" w:styleId="3">
    <w:name w:val="heading 3"/>
    <w:basedOn w:val="a"/>
    <w:next w:val="a"/>
    <w:uiPriority w:val="9"/>
    <w:semiHidden/>
    <w:unhideWhenUsed/>
    <w:qFormat/>
    <w:rsid w:val="004A13DD"/>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4A13DD"/>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4A13DD"/>
    <w:pPr>
      <w:keepNext/>
      <w:keepLines/>
      <w:spacing w:before="240" w:after="80"/>
      <w:outlineLvl w:val="4"/>
    </w:pPr>
    <w:rPr>
      <w:color w:val="666666"/>
    </w:rPr>
  </w:style>
  <w:style w:type="paragraph" w:styleId="6">
    <w:name w:val="heading 6"/>
    <w:basedOn w:val="a"/>
    <w:next w:val="a"/>
    <w:uiPriority w:val="9"/>
    <w:semiHidden/>
    <w:unhideWhenUsed/>
    <w:qFormat/>
    <w:rsid w:val="004A13DD"/>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sid w:val="004A13DD"/>
    <w:pPr>
      <w:keepNext/>
      <w:keepLines/>
      <w:spacing w:after="60"/>
    </w:pPr>
    <w:rPr>
      <w:sz w:val="52"/>
      <w:szCs w:val="52"/>
    </w:rPr>
  </w:style>
  <w:style w:type="paragraph" w:styleId="a4">
    <w:name w:val="Subtitle"/>
    <w:basedOn w:val="a"/>
    <w:next w:val="a"/>
    <w:uiPriority w:val="11"/>
    <w:qFormat/>
    <w:rsid w:val="004A13DD"/>
    <w:pPr>
      <w:keepNext/>
      <w:keepLines/>
      <w:spacing w:after="320"/>
    </w:pPr>
    <w:rPr>
      <w:color w:val="666666"/>
      <w:sz w:val="30"/>
      <w:szCs w:val="30"/>
    </w:rPr>
  </w:style>
  <w:style w:type="character" w:customStyle="1" w:styleId="hwtze">
    <w:name w:val="hwtze"/>
    <w:basedOn w:val="a0"/>
    <w:rsid w:val="00622F57"/>
  </w:style>
  <w:style w:type="character" w:customStyle="1" w:styleId="rynqvb">
    <w:name w:val="rynqvb"/>
    <w:basedOn w:val="a0"/>
    <w:rsid w:val="00622F57"/>
  </w:style>
  <w:style w:type="paragraph" w:customStyle="1" w:styleId="Heading1">
    <w:name w:val="Heading 1"/>
    <w:basedOn w:val="a"/>
    <w:next w:val="a"/>
    <w:rsid w:val="006042BF"/>
    <w:pPr>
      <w:keepNext/>
      <w:widowControl w:val="0"/>
      <w:suppressAutoHyphens/>
      <w:autoSpaceDN w:val="0"/>
      <w:spacing w:line="240" w:lineRule="auto"/>
      <w:jc w:val="center"/>
      <w:textAlignment w:val="baseline"/>
      <w:outlineLvl w:val="0"/>
    </w:pPr>
    <w:rPr>
      <w:rFonts w:eastAsia="Times New Roman" w:cs="Times New Roman"/>
      <w:b/>
      <w:caps/>
      <w:color w:val="000000"/>
      <w:sz w:val="40"/>
      <w:szCs w:val="20"/>
      <w:lang w:val="en-AU"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300</Words>
  <Characters>1711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Professional</dc:creator>
  <cp:lastModifiedBy>User Windows</cp:lastModifiedBy>
  <cp:revision>9</cp:revision>
  <cp:lastPrinted>2023-05-02T09:13:00Z</cp:lastPrinted>
  <dcterms:created xsi:type="dcterms:W3CDTF">2023-02-24T08:54:00Z</dcterms:created>
  <dcterms:modified xsi:type="dcterms:W3CDTF">2023-05-02T10:28:00Z</dcterms:modified>
</cp:coreProperties>
</file>