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0" w:right="0" w:firstLine="567"/>
        <w:jc w:val="center"/>
        <w:rPr>
          <w:rFonts w:ascii="Times New Roman" w:hAnsi="Times New Roman" w:cs="Times New Roman"/>
          <w:color w:val="auto"/>
          <w:sz w:val="24"/>
        </w:rPr>
      </w:pPr>
      <w:r>
        <w:rPr>
          <w:rFonts w:cs="Times New Roman" w:ascii="Times New Roman" w:hAnsi="Times New Roman"/>
          <w:color w:val="auto"/>
          <w:sz w:val="24"/>
          <w:lang w:val="en-US"/>
        </w:rPr>
        <w:t xml:space="preserve">PROTON </w:t>
      </w:r>
      <w:r>
        <w:rPr>
          <w:rFonts w:cs="Times New Roman" w:ascii="Times New Roman" w:hAnsi="Times New Roman"/>
          <w:color w:val="auto"/>
          <w:sz w:val="24"/>
        </w:rPr>
        <w:t xml:space="preserve"> ACCELERATION RATE REQUIRED</w:t>
      </w:r>
    </w:p>
    <w:p>
      <w:pPr>
        <w:pStyle w:val="Normal"/>
        <w:spacing w:lineRule="auto" w:line="360"/>
        <w:ind w:left="0" w:right="0" w:firstLine="567"/>
        <w:jc w:val="center"/>
        <w:rPr/>
      </w:pPr>
      <w:r>
        <w:rPr>
          <w:rFonts w:cs="Times New Roman" w:ascii="Times New Roman" w:hAnsi="Times New Roman"/>
          <w:color w:val="auto"/>
          <w:sz w:val="24"/>
        </w:rPr>
        <w:t>FOR THE GLE EVENTS OF THE 24</w:t>
      </w:r>
      <w:r>
        <w:rPr>
          <w:rFonts w:cs="Times New Roman" w:ascii="Times New Roman" w:hAnsi="Times New Roman"/>
          <w:color w:val="auto"/>
          <w:sz w:val="24"/>
          <w:vertAlign w:val="superscript"/>
        </w:rPr>
        <w:t>th</w:t>
      </w:r>
      <w:r>
        <w:rPr>
          <w:rFonts w:cs="Times New Roman" w:ascii="Times New Roman" w:hAnsi="Times New Roman"/>
          <w:color w:val="auto"/>
          <w:sz w:val="24"/>
        </w:rPr>
        <w:t xml:space="preserve"> AND 25</w:t>
      </w:r>
      <w:r>
        <w:rPr>
          <w:rFonts w:cs="Times New Roman" w:ascii="Times New Roman" w:hAnsi="Times New Roman"/>
          <w:color w:val="auto"/>
          <w:sz w:val="24"/>
          <w:vertAlign w:val="superscript"/>
        </w:rPr>
        <w:t>th</w:t>
      </w:r>
      <w:r>
        <w:rPr>
          <w:rFonts w:cs="Times New Roman" w:ascii="Times New Roman" w:hAnsi="Times New Roman"/>
          <w:color w:val="auto"/>
          <w:sz w:val="24"/>
        </w:rPr>
        <w:t xml:space="preserve"> SOLAR CYCLES</w:t>
      </w:r>
    </w:p>
    <w:p>
      <w:pPr>
        <w:pStyle w:val="Normal"/>
        <w:spacing w:lineRule="auto" w:line="360"/>
        <w:ind w:firstLine="567"/>
        <w:jc w:val="center"/>
        <w:rPr>
          <w:rFonts w:ascii="Times New Roman" w:hAnsi="Times New Roman" w:cs="Times New Roman"/>
          <w:color w:val="auto"/>
          <w:sz w:val="24"/>
        </w:rPr>
      </w:pPr>
      <w:r>
        <w:rPr>
          <w:rFonts w:cs="Times New Roman" w:ascii="Times New Roman" w:hAnsi="Times New Roman"/>
          <w:color w:val="auto"/>
          <w:sz w:val="24"/>
        </w:rPr>
        <w:t>A.B.Struminsky</w:t>
      </w:r>
      <w:r>
        <w:rPr>
          <w:rFonts w:cs="Times New Roman" w:ascii="Times New Roman" w:hAnsi="Times New Roman"/>
          <w:color w:val="auto"/>
          <w:sz w:val="24"/>
          <w:vertAlign w:val="superscript"/>
        </w:rPr>
        <w:t>1</w:t>
      </w:r>
      <w:r>
        <w:rPr>
          <w:rFonts w:cs="Times New Roman" w:ascii="Times New Roman" w:hAnsi="Times New Roman"/>
          <w:color w:val="auto"/>
          <w:sz w:val="24"/>
        </w:rPr>
        <w:t>,  V.A. Ozheredov</w:t>
      </w:r>
      <w:r>
        <w:rPr>
          <w:rFonts w:cs="Times New Roman" w:ascii="Times New Roman" w:hAnsi="Times New Roman"/>
          <w:color w:val="auto"/>
          <w:sz w:val="24"/>
          <w:vertAlign w:val="superscript"/>
        </w:rPr>
        <w:t>1</w:t>
      </w:r>
      <w:r>
        <w:rPr>
          <w:rFonts w:cs="Times New Roman" w:ascii="Times New Roman" w:hAnsi="Times New Roman"/>
          <w:color w:val="auto"/>
          <w:sz w:val="24"/>
        </w:rPr>
        <w:t>, A.M. Sadovskii</w:t>
      </w:r>
      <w:r>
        <w:rPr>
          <w:rFonts w:cs="Times New Roman" w:ascii="Times New Roman" w:hAnsi="Times New Roman"/>
          <w:color w:val="auto"/>
          <w:sz w:val="24"/>
          <w:vertAlign w:val="superscript"/>
        </w:rPr>
        <w:t>1</w:t>
      </w:r>
      <w:r>
        <w:rPr>
          <w:rFonts w:cs="Times New Roman" w:ascii="Times New Roman" w:hAnsi="Times New Roman"/>
          <w:color w:val="auto"/>
          <w:sz w:val="24"/>
        </w:rPr>
        <w:t>,  I.Yu. Grigorieva</w:t>
      </w:r>
      <w:r>
        <w:rPr>
          <w:rFonts w:cs="Times New Roman" w:ascii="Times New Roman" w:hAnsi="Times New Roman"/>
          <w:color w:val="auto"/>
          <w:sz w:val="24"/>
          <w:vertAlign w:val="superscript"/>
        </w:rPr>
        <w:t>2</w:t>
      </w:r>
    </w:p>
    <w:p>
      <w:pPr>
        <w:pStyle w:val="KUP1NameAuthor"/>
        <w:spacing w:lineRule="auto" w:line="360" w:before="0" w:after="0"/>
        <w:ind w:firstLine="567"/>
        <w:jc w:val="center"/>
        <w:rPr>
          <w:rFonts w:ascii="Times New Roman" w:hAnsi="Times New Roman" w:cs="Times New Roman"/>
          <w:color w:val="auto"/>
          <w:position w:val="0"/>
          <w:sz w:val="24"/>
          <w:sz w:val="24"/>
          <w:vertAlign w:val="baseline"/>
        </w:rPr>
      </w:pPr>
      <w:r>
        <w:rPr>
          <w:rFonts w:cs="Times New Roman" w:ascii="Times New Roman" w:hAnsi="Times New Roman"/>
          <w:i/>
          <w:iCs/>
          <w:color w:val="auto"/>
          <w:sz w:val="24"/>
          <w:szCs w:val="24"/>
          <w:vertAlign w:val="superscript"/>
          <w:lang w:val="en-US" w:eastAsia="ru-RU"/>
        </w:rPr>
        <w:t>1</w:t>
      </w:r>
      <w:r>
        <w:rPr>
          <w:rFonts w:cs="Times New Roman" w:ascii="Times New Roman" w:hAnsi="Times New Roman"/>
          <w:i/>
          <w:iCs/>
          <w:color w:val="auto"/>
          <w:position w:val="0"/>
          <w:sz w:val="24"/>
          <w:sz w:val="24"/>
          <w:szCs w:val="24"/>
          <w:vertAlign w:val="baseline"/>
          <w:lang w:val="en-US" w:eastAsia="ru-RU"/>
        </w:rPr>
        <w:t>Space Research Institute, Moscow, Russia</w:t>
      </w:r>
    </w:p>
    <w:p>
      <w:pPr>
        <w:pStyle w:val="Normal"/>
        <w:shd w:val="clear" w:color="auto" w:fill="FFFFFF"/>
        <w:spacing w:lineRule="auto" w:line="360" w:before="0" w:after="0"/>
        <w:ind w:firstLine="567"/>
        <w:jc w:val="center"/>
        <w:rPr>
          <w:rFonts w:ascii="Times New Roman" w:hAnsi="Times New Roman" w:cs="Times New Roman"/>
          <w:color w:val="auto"/>
          <w:position w:val="0"/>
          <w:sz w:val="24"/>
          <w:sz w:val="24"/>
          <w:vertAlign w:val="baseline"/>
        </w:rPr>
      </w:pPr>
      <w:r>
        <w:rPr>
          <w:rFonts w:cs="Times New Roman" w:ascii="Times New Roman" w:hAnsi="Times New Roman"/>
          <w:i/>
          <w:iCs/>
          <w:color w:val="auto"/>
          <w:sz w:val="24"/>
          <w:szCs w:val="24"/>
          <w:vertAlign w:val="superscript"/>
          <w:lang w:val="en-US" w:eastAsia="ru-RU"/>
        </w:rPr>
        <w:t>2</w:t>
      </w:r>
      <w:r>
        <w:rPr>
          <w:rFonts w:cs="Times New Roman" w:ascii="Times New Roman" w:hAnsi="Times New Roman"/>
          <w:i/>
          <w:iCs/>
          <w:color w:val="auto"/>
          <w:position w:val="0"/>
          <w:sz w:val="24"/>
          <w:sz w:val="24"/>
          <w:szCs w:val="24"/>
          <w:vertAlign w:val="baseline"/>
          <w:lang w:val="en-US" w:eastAsia="ru-RU"/>
        </w:rPr>
        <w:t>Main (Pulkovo) Astronomical Observatory, Saint-Petersburg, Russia</w:t>
      </w:r>
    </w:p>
    <w:p>
      <w:pPr>
        <w:pStyle w:val="Normal"/>
        <w:shd w:val="clear" w:color="auto" w:fill="FFFFFF"/>
        <w:spacing w:lineRule="auto" w:line="360" w:before="0" w:after="0"/>
        <w:ind w:firstLine="567"/>
        <w:jc w:val="center"/>
        <w:rPr>
          <w:i/>
          <w:i/>
          <w:iCs/>
          <w:szCs w:val="24"/>
          <w:lang w:val="en-US" w:eastAsia="ru-RU"/>
        </w:rPr>
      </w:pPr>
      <w:r>
        <w:rPr>
          <w:rFonts w:cs="Times New Roman" w:ascii="Times New Roman" w:hAnsi="Times New Roman"/>
          <w:color w:val="auto"/>
          <w:position w:val="0"/>
          <w:sz w:val="24"/>
          <w:sz w:val="24"/>
          <w:vertAlign w:val="baseline"/>
        </w:rPr>
      </w:r>
    </w:p>
    <w:p>
      <w:pPr>
        <w:pStyle w:val="Normal"/>
        <w:spacing w:lineRule="auto" w:line="360"/>
        <w:ind w:left="0" w:right="0" w:firstLine="567"/>
        <w:jc w:val="both"/>
        <w:rPr/>
      </w:pPr>
      <w:r>
        <w:rPr>
          <w:rFonts w:cs="Times New Roman" w:ascii="Times New Roman" w:hAnsi="Times New Roman"/>
          <w:color w:val="auto"/>
          <w:sz w:val="24"/>
        </w:rPr>
        <w:t xml:space="preserve">The AntiCoincidence Shield of the SPectrometer on the INTEGRAL (ACS SPI) records primary and secondary HXR with energies E &gt;100 keV. The secondary HXR is due to galactic and solar CR protons. The ACS SPI is a perfect instrument for studies of temporal relation between solar HXR flares and associated solar proton enhancements. </w:t>
      </w:r>
      <w:r>
        <w:rPr>
          <w:rFonts w:cs="Times New Roman" w:ascii="Times New Roman" w:hAnsi="Times New Roman"/>
          <w:iCs/>
          <w:color w:val="auto"/>
          <w:sz w:val="24"/>
        </w:rPr>
        <w:t>T</w:t>
      </w:r>
      <w:r>
        <w:rPr>
          <w:rFonts w:cs="Times New Roman" w:ascii="Times New Roman" w:hAnsi="Times New Roman"/>
          <w:color w:val="auto"/>
          <w:sz w:val="24"/>
        </w:rPr>
        <w:t xml:space="preserve">he onset of a significant increase in the ACS SPI count rate of concurrently or after a solar HXR burst might be considered as a moment of the first solar protons arrival to the Earth’s orbit with energy less than 430 MeV — the atmospheric cutoff.  In some GLEs, the increases in the count rate of the ACS SPI detector are observed earlier than the GLE onset registered by NMs, </w:t>
      </w:r>
      <w:r>
        <w:rPr>
          <w:rFonts w:cs="Times New Roman" w:ascii="Times New Roman" w:hAnsi="Times New Roman"/>
          <w:i w:val="false"/>
          <w:iCs w:val="false"/>
          <w:color w:val="auto"/>
          <w:sz w:val="24"/>
        </w:rPr>
        <w:t>(</w:t>
      </w:r>
      <w:r>
        <w:rPr>
          <w:rFonts w:cs="Times New Roman" w:ascii="Times New Roman" w:hAnsi="Times New Roman"/>
          <w:i w:val="false"/>
          <w:iCs w:val="false"/>
          <w:color w:val="auto"/>
          <w:sz w:val="24"/>
          <w:lang w:val="en-US"/>
        </w:rPr>
        <w:t>GLE71)</w:t>
      </w:r>
      <w:r>
        <w:rPr>
          <w:rFonts w:cs="Times New Roman" w:ascii="Times New Roman" w:hAnsi="Times New Roman"/>
          <w:i w:val="false"/>
          <w:iCs w:val="false"/>
          <w:color w:val="auto"/>
          <w:sz w:val="24"/>
        </w:rPr>
        <w:t xml:space="preserve"> </w:t>
      </w:r>
      <w:r>
        <w:rPr>
          <w:rFonts w:cs="Times New Roman" w:ascii="Times New Roman" w:hAnsi="Times New Roman"/>
          <w:color w:val="auto"/>
          <w:sz w:val="24"/>
        </w:rPr>
        <w:t xml:space="preserve"> but</w:t>
      </w:r>
      <w:r>
        <w:rPr>
          <w:rFonts w:cs="Times New Roman" w:ascii="Times New Roman" w:hAnsi="Times New Roman"/>
          <w:i/>
          <w:iCs/>
          <w:color w:val="auto"/>
          <w:sz w:val="24"/>
        </w:rPr>
        <w:t xml:space="preserve"> </w:t>
      </w:r>
      <w:r>
        <w:rPr>
          <w:rFonts w:cs="Times New Roman" w:ascii="Times New Roman" w:hAnsi="Times New Roman"/>
          <w:color w:val="auto"/>
          <w:sz w:val="24"/>
        </w:rPr>
        <w:t xml:space="preserve">in some other GLEs the situation is opposite ( </w:t>
      </w:r>
      <w:r>
        <w:rPr>
          <w:rFonts w:cs="Times New Roman" w:ascii="Times New Roman" w:hAnsi="Times New Roman"/>
          <w:color w:val="auto"/>
          <w:sz w:val="24"/>
          <w:lang w:val="en-US"/>
        </w:rPr>
        <w:t>GLE72)</w:t>
      </w:r>
      <w:r>
        <w:rPr>
          <w:rFonts w:cs="Times New Roman" w:ascii="Times New Roman" w:hAnsi="Times New Roman"/>
          <w:color w:val="auto"/>
          <w:sz w:val="24"/>
        </w:rPr>
        <w:t>.</w:t>
      </w:r>
      <w:r>
        <w:rPr>
          <w:rFonts w:cs="Times New Roman" w:ascii="Times New Roman" w:hAnsi="Times New Roman"/>
          <w:i/>
          <w:iCs/>
          <w:color w:val="auto"/>
          <w:sz w:val="24"/>
        </w:rPr>
        <w:t xml:space="preserve"> </w:t>
      </w:r>
      <w:r>
        <w:rPr>
          <w:rFonts w:cs="Times New Roman" w:ascii="Times New Roman" w:hAnsi="Times New Roman"/>
          <w:i w:val="false"/>
          <w:iCs w:val="false"/>
          <w:color w:val="auto"/>
          <w:sz w:val="24"/>
        </w:rPr>
        <w:t xml:space="preserve">The delayed response of NM’s may indicate the reversal velocity dispersion due to the small acceleration rate. </w:t>
      </w:r>
    </w:p>
    <w:p>
      <w:pPr>
        <w:pStyle w:val="Normal"/>
        <w:spacing w:lineRule="auto" w:line="360"/>
        <w:ind w:left="0" w:right="0" w:firstLine="567"/>
        <w:jc w:val="both"/>
        <w:rPr/>
      </w:pPr>
      <w:r>
        <w:rPr>
          <w:rFonts w:cs="Times New Roman" w:ascii="Times New Roman" w:hAnsi="Times New Roman"/>
          <w:i w:val="false"/>
          <w:iCs w:val="false"/>
          <w:color w:val="auto"/>
          <w:sz w:val="24"/>
        </w:rPr>
        <w:t xml:space="preserve">The proton acceleration rate (effective electric field) was estimated from a time difference between the onset of &gt;100 keV electron emission and the SEP onset observed by ACS SPI as well as neutron monitors network in cases of GLEs. </w:t>
      </w:r>
      <w:r>
        <w:rPr>
          <w:rFonts w:eastAsia="SimSun" w:cs="Times New Roman" w:ascii="Times New Roman" w:hAnsi="Times New Roman"/>
          <w:bCs/>
          <w:i w:val="false"/>
          <w:iCs/>
          <w:color w:val="auto"/>
          <w:sz w:val="24"/>
        </w:rPr>
        <w:t>The earlier onset of GLEs in comparison with ACS SPI proton enhancement corresponds to acceleration of observable by NMs amount of protons in the flare impulsive phase. In these cases the ACS SPI solar proton enhancement is visible later due to high solar HXR background. The later onset of GLEs in comparison with ACS SPI proton enhancement correspond to acceleration of very small amount of protons above their atmospheric cutoff during the flare impulsive phase. The ACS SPI solar proton enhancement is visible earlier due to better sensitivity to protons of energies below the atmospheric cutoff. The majority of solar protons responsible for t</w:t>
      </w:r>
      <w:r>
        <w:rPr>
          <w:rFonts w:eastAsia="CMMI10" w:cs="Times New Roman" w:ascii="Times New Roman" w:hAnsi="Times New Roman"/>
          <w:bCs/>
          <w:i w:val="false"/>
          <w:iCs/>
          <w:color w:val="auto"/>
          <w:sz w:val="24"/>
        </w:rPr>
        <w:t>he 73</w:t>
      </w:r>
      <w:r>
        <w:rPr>
          <w:rFonts w:eastAsia="CMMI10" w:cs="Times New Roman" w:ascii="Times New Roman" w:hAnsi="Times New Roman"/>
          <w:bCs/>
          <w:i w:val="false"/>
          <w:iCs/>
          <w:color w:val="auto"/>
          <w:sz w:val="24"/>
          <w:vertAlign w:val="superscript"/>
        </w:rPr>
        <w:t>rd</w:t>
      </w:r>
      <w:r>
        <w:rPr>
          <w:rFonts w:eastAsia="CMMI10" w:cs="Times New Roman" w:ascii="Times New Roman" w:hAnsi="Times New Roman"/>
          <w:bCs/>
          <w:i w:val="false"/>
          <w:iCs/>
          <w:color w:val="auto"/>
          <w:sz w:val="24"/>
        </w:rPr>
        <w:t>, 74</w:t>
      </w:r>
      <w:r>
        <w:rPr>
          <w:rFonts w:eastAsia="CMMI10" w:cs="Times New Roman" w:ascii="Times New Roman" w:hAnsi="Times New Roman"/>
          <w:bCs/>
          <w:i w:val="false"/>
          <w:iCs/>
          <w:color w:val="auto"/>
          <w:sz w:val="24"/>
          <w:vertAlign w:val="superscript"/>
        </w:rPr>
        <w:t>th</w:t>
      </w:r>
      <w:r>
        <w:rPr>
          <w:rFonts w:eastAsia="CMMI10" w:cs="Times New Roman" w:ascii="Times New Roman" w:hAnsi="Times New Roman"/>
          <w:bCs/>
          <w:i w:val="false"/>
          <w:iCs/>
          <w:color w:val="auto"/>
          <w:position w:val="0"/>
          <w:sz w:val="24"/>
          <w:sz w:val="24"/>
          <w:vertAlign w:val="baseline"/>
        </w:rPr>
        <w:t>,</w:t>
      </w:r>
      <w:r>
        <w:rPr>
          <w:rFonts w:eastAsia="CMMI10" w:cs="Times New Roman" w:ascii="Times New Roman" w:hAnsi="Times New Roman"/>
          <w:bCs/>
          <w:i w:val="false"/>
          <w:iCs/>
          <w:color w:val="auto"/>
          <w:sz w:val="24"/>
        </w:rPr>
        <w:t xml:space="preserve"> 75</w:t>
      </w:r>
      <w:r>
        <w:rPr>
          <w:rFonts w:eastAsia="CMMI10" w:cs="Times New Roman" w:ascii="Times New Roman" w:hAnsi="Times New Roman"/>
          <w:bCs/>
          <w:i w:val="false"/>
          <w:iCs/>
          <w:color w:val="auto"/>
          <w:sz w:val="24"/>
          <w:vertAlign w:val="superscript"/>
        </w:rPr>
        <w:t>th</w:t>
      </w:r>
      <w:r>
        <w:rPr>
          <w:rFonts w:eastAsia="CMMI10" w:cs="Times New Roman" w:ascii="Times New Roman" w:hAnsi="Times New Roman"/>
          <w:bCs/>
          <w:i w:val="false"/>
          <w:iCs/>
          <w:color w:val="auto"/>
          <w:sz w:val="24"/>
        </w:rPr>
        <w:t xml:space="preserve"> and 76</w:t>
      </w:r>
      <w:r>
        <w:rPr>
          <w:rFonts w:eastAsia="CMMI10" w:cs="Times New Roman" w:ascii="Times New Roman" w:hAnsi="Times New Roman"/>
          <w:bCs/>
          <w:i w:val="false"/>
          <w:iCs/>
          <w:color w:val="auto"/>
          <w:sz w:val="24"/>
          <w:vertAlign w:val="superscript"/>
        </w:rPr>
        <w:t>th</w:t>
      </w:r>
      <w:r>
        <w:rPr>
          <w:rFonts w:eastAsia="CMMI10" w:cs="Times New Roman" w:ascii="Times New Roman" w:hAnsi="Times New Roman"/>
          <w:bCs/>
          <w:i w:val="false"/>
          <w:iCs/>
          <w:color w:val="auto"/>
          <w:sz w:val="24"/>
        </w:rPr>
        <w:t xml:space="preserve"> GLE events (the GLE events of the 25</w:t>
      </w:r>
      <w:r>
        <w:rPr>
          <w:rFonts w:eastAsia="CMMI10" w:cs="Times New Roman" w:ascii="Times New Roman" w:hAnsi="Times New Roman"/>
          <w:bCs/>
          <w:i w:val="false"/>
          <w:iCs/>
          <w:color w:val="auto"/>
          <w:sz w:val="24"/>
          <w:vertAlign w:val="superscript"/>
        </w:rPr>
        <w:t>th</w:t>
      </w:r>
      <w:r>
        <w:rPr>
          <w:rFonts w:eastAsia="CMMI10" w:cs="Times New Roman" w:ascii="Times New Roman" w:hAnsi="Times New Roman"/>
          <w:bCs/>
          <w:i w:val="false"/>
          <w:iCs/>
          <w:color w:val="auto"/>
          <w:sz w:val="24"/>
        </w:rPr>
        <w:t xml:space="preserve"> cycle up to May 2025 have been accelerated in rather weak electric fields and</w:t>
      </w:r>
      <w:r>
        <w:rPr>
          <w:rFonts w:eastAsia="SimSun" w:cs="Times New Roman" w:ascii="Times New Roman" w:hAnsi="Times New Roman"/>
          <w:bCs/>
          <w:i w:val="false"/>
          <w:iCs/>
          <w:color w:val="auto"/>
          <w:sz w:val="24"/>
        </w:rPr>
        <w:t xml:space="preserve"> a</w:t>
      </w:r>
      <w:r>
        <w:rPr>
          <w:rFonts w:eastAsia="CMMI10" w:cs="Times New Roman" w:ascii="Times New Roman" w:hAnsi="Times New Roman"/>
          <w:bCs/>
          <w:i w:val="false"/>
          <w:iCs/>
          <w:color w:val="auto"/>
          <w:sz w:val="24"/>
        </w:rPr>
        <w:t>s a result look like subGLE events of the 24</w:t>
      </w:r>
      <w:r>
        <w:rPr>
          <w:rFonts w:eastAsia="CMMI10" w:cs="Times New Roman" w:ascii="Times New Roman" w:hAnsi="Times New Roman"/>
          <w:bCs/>
          <w:i w:val="false"/>
          <w:iCs/>
          <w:color w:val="auto"/>
          <w:sz w:val="24"/>
          <w:vertAlign w:val="superscript"/>
        </w:rPr>
        <w:t>th</w:t>
      </w:r>
      <w:r>
        <w:rPr>
          <w:rFonts w:eastAsia="CMMI10" w:cs="Times New Roman" w:ascii="Times New Roman" w:hAnsi="Times New Roman"/>
          <w:bCs/>
          <w:i w:val="false"/>
          <w:iCs/>
          <w:color w:val="auto"/>
          <w:sz w:val="24"/>
        </w:rPr>
        <w:t xml:space="preserve"> cycle. </w:t>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0"/>
        <w:szCs w:val="24"/>
        <w:lang w:val="en-US"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SimSun" w:cs="Mangal"/>
      <w:color w:val="auto"/>
      <w:kern w:val="2"/>
      <w:sz w:val="24"/>
      <w:szCs w:val="24"/>
      <w:lang w:val="en-US"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KUP1NameAuthor">
    <w:name w:val="KUP 1: Name Author"/>
    <w:basedOn w:val="Normal"/>
    <w:next w:val="Normal"/>
    <w:qFormat/>
    <w:pPr>
      <w:spacing w:lineRule="auto" w:line="252" w:before="0" w:after="160"/>
    </w:pPr>
    <w:rPr>
      <w:rFonts w:eastAsia="Calibri"/>
      <w:kern w:val="0"/>
      <w:sz w:val="24"/>
      <w:szCs w:val="22"/>
      <w:lang w:val="de-D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103</TotalTime>
  <Application>LibreOffice/6.2.8.2$Windows_X86_64 LibreOffice_project/f82ddfca21ebc1e222a662a32b25c0c9d20169ee</Application>
  <Pages>1</Pages>
  <Words>365</Words>
  <Characters>1865</Characters>
  <CharactersWithSpaces>2231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ru-RU</dc:language>
  <cp:lastModifiedBy/>
  <dcterms:modified xsi:type="dcterms:W3CDTF">2025-04-30T15:51:10Z</dcterms:modified>
  <cp:revision>9</cp:revision>
  <dc:subject/>
  <dc:title/>
</cp:coreProperties>
</file>